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/>
          <w:b/>
          <w:color w:val="2D3033"/>
          <w:sz w:val="40"/>
        </w:rPr>
        <w:t>TIFFANY MARCIALES</w:t>
      </w:r>
    </w:p>
    <w:p>
      <w:pPr>
        <w:jc w:val="center"/>
      </w:pPr>
      <w:r>
        <w:rPr>
          <w:b/>
          <w:sz w:val="17"/>
        </w:rPr>
        <w:t>SENIOR AI LEARNING EXPERIENCE DESIGNER | AI L&amp;D SPECIALIST | AI ADOPTION &amp; ENABLEMENT CONSULTANT</w:t>
      </w:r>
    </w:p>
    <w:p>
      <w:pPr>
        <w:jc w:val="center"/>
      </w:pPr>
      <w:r>
        <w:rPr>
          <w:sz w:val="17"/>
        </w:rPr>
        <w:t>Henderson, NV  |  702-518-4550  |  tiffanymarciales@gmail.com  |  tiffanyrivera.net  |  linkedin.com/in/tiffanylrivera</w:t>
      </w:r>
    </w:p>
    <w:p>
      <w:pPr>
        <w:pStyle w:val="Section"/>
        <w:keepNext/>
        <w:pBdr>
          <w:bottom w:val="single" w:color="B5B5B5" w:sz="4" w:space="2"/>
        </w:pBdr>
      </w:pPr>
      <w:r>
        <w:t>PROFESSIONAL SUMMARY</w:t>
      </w:r>
    </w:p>
    <w:p>
      <w:r>
        <w:t>Senior AI Learning Experience Designer, AI Learning &amp; Development Specialist, and AI Adoption &amp; Enablement Consultant with 12+ years of enterprise L&amp;D experience across federal healthcare, clinical systems, technology, and sales enablement. At the Defense Health Agency, researched and piloted AI-assisted production tools, coached a four-person team, and achieved estimated production-time savings of 50% personally and 25% among colleagues. Brings practical prompt engineering, generative AI enablement, AI-assisted content development, enterprise learning technology adoption, multimedia production, and human-reviewed quality assurance to workforce training and performance support.</w:t>
      </w:r>
    </w:p>
    <w:p>
      <w:pPr>
        <w:pStyle w:val="Section"/>
        <w:keepNext/>
        <w:pBdr>
          <w:bottom w:val="single" w:color="B5B5B5" w:sz="4" w:space="2"/>
        </w:pBdr>
      </w:pPr>
      <w:r>
        <w:t>AI AND LEARNING TECHNOLOGIES</w:t>
      </w:r>
    </w:p>
    <w:p>
      <w:pPr>
        <w:spacing w:after="30"/>
      </w:pPr>
      <w:r>
        <w:rPr>
          <w:b/>
        </w:rPr>
        <w:t xml:space="preserve">Generative AI: </w:t>
      </w:r>
      <w:r>
        <w:t>ChatGPT; Microsoft Copilot; Google Gemini; Claude</w:t>
      </w:r>
    </w:p>
    <w:p>
      <w:pPr>
        <w:spacing w:after="30"/>
      </w:pPr>
      <w:r>
        <w:rPr>
          <w:b/>
        </w:rPr>
        <w:t xml:space="preserve">Enterprise LMS / LXP: </w:t>
      </w:r>
      <w:r>
        <w:t>Cornerstone (DaVita); Workday Learning (PacificSource); SAP SuccessFactors; Docebo; 360Learning</w:t>
      </w:r>
    </w:p>
    <w:p>
      <w:pPr>
        <w:spacing w:after="30"/>
      </w:pPr>
      <w:r>
        <w:rPr>
          <w:b/>
        </w:rPr>
        <w:t xml:space="preserve">Authoring &amp; AI multimedia: </w:t>
      </w:r>
      <w:r>
        <w:t>Articulate 360 AI Assistant; Storyline 360; Rise 360; Easygenerator; 360Learning AI; Adobe Captivate; Synthesia; Vyond AI; ElevenLabs; Camtasia; Adobe Creative Cloud</w:t>
      </w:r>
    </w:p>
    <w:p>
      <w:pPr>
        <w:spacing w:after="30"/>
      </w:pPr>
      <w:r>
        <w:rPr>
          <w:b/>
        </w:rPr>
        <w:t xml:space="preserve">Analytics &amp; adoption: </w:t>
      </w:r>
      <w:r>
        <w:t>Power BI; Tableau; LMS analytics; xAPI/LRS; WalkMe; Pendo; Seismic; SharePoint</w:t>
      </w:r>
    </w:p>
    <w:p>
      <w:pPr>
        <w:spacing w:after="30"/>
      </w:pPr>
      <w:r>
        <w:rPr>
          <w:b/>
        </w:rPr>
        <w:t xml:space="preserve">Methods: </w:t>
      </w:r>
      <w:r>
        <w:t>Learning experience design; prompt engineering; generative AI enablement; AI-assisted content development; learning technology adoption; human-in-the-loop review; ADDIE; SAM; WCAG / Section 508</w:t>
      </w:r>
    </w:p>
    <w:p>
      <w:pPr>
        <w:pStyle w:val="Section"/>
        <w:keepNext/>
        <w:pBdr>
          <w:bottom w:val="single" w:color="B5B5B5" w:sz="4" w:space="2"/>
        </w:pBdr>
      </w:pPr>
      <w:r>
        <w:t>SELECTED IMPACT</w:t>
      </w:r>
    </w:p>
    <w:p>
      <w:r>
        <w:t>12+ years in L&amp;D  |  1,200+ learning assets  |  10,000+ learners supported  |  50+ enterprise learning modules  |  Federal and clinical training</w:t>
      </w:r>
    </w:p>
    <w:p>
      <w:pPr>
        <w:pStyle w:val="Section"/>
        <w:keepNext/>
        <w:pBdr>
          <w:bottom w:val="single" w:color="B5B5B5" w:sz="4" w:space="2"/>
        </w:pBdr>
      </w:pPr>
      <w:r>
        <w:t>PROFESSIONAL EXPERIENCE</w:t>
      </w:r>
    </w:p>
    <w:p>
      <w:pPr>
        <w:pStyle w:val="Job"/>
        <w:keepNext/>
      </w:pPr>
      <w:r>
        <w:t>DEFENSE HEALTH AGENCY (DOD)</w:t>
      </w:r>
    </w:p>
    <w:p>
      <w:pPr>
        <w:keepNext/>
        <w:spacing w:after="40"/>
      </w:pPr>
      <w:r>
        <w:rPr>
          <w:i/>
          <w:sz w:val="19"/>
        </w:rPr>
        <w:t>Senior Instructional Systems Designer | Federal Healthcare Learning &amp; AI Enablement | 2025–2026</w:t>
      </w:r>
    </w:p>
    <w:p>
      <w:pPr>
        <w:ind w:left="173" w:hanging="173"/>
      </w:pPr>
      <w:r>
        <w:rPr>
          <w:b/>
        </w:rPr>
        <w:t xml:space="preserve">• </w:t>
      </w:r>
      <w:r>
        <w:t>Championed AI adoption in a four-person instructional design team; independently researched, tested, and introduced free and low-cost AI video editing, creation, and production tools.</w:t>
      </w:r>
    </w:p>
    <w:p>
      <w:pPr>
        <w:ind w:left="173" w:hanging="173"/>
      </w:pPr>
      <w:r>
        <w:rPr>
          <w:b/>
        </w:rPr>
        <w:t xml:space="preserve">• </w:t>
      </w:r>
      <w:r>
        <w:t>Estimated a 50% reduction in personal learning-content production time with AI-assisted workflows; coached colleagues through adoption, contributing to an estimated 25% reduction in their production time.</w:t>
      </w:r>
    </w:p>
    <w:p>
      <w:pPr>
        <w:ind w:left="173" w:hanging="173"/>
      </w:pPr>
      <w:r>
        <w:rPr>
          <w:b/>
        </w:rPr>
        <w:t xml:space="preserve">• </w:t>
      </w:r>
      <w:r>
        <w:t>Shared tested approaches through one-on-one coaching and informal team discussions; demonstrated practical uses while maintaining SME validation, accessibility, and instructional quality.</w:t>
      </w:r>
    </w:p>
    <w:p>
      <w:pPr>
        <w:ind w:left="173" w:hanging="173"/>
      </w:pPr>
      <w:r>
        <w:rPr>
          <w:b/>
        </w:rPr>
        <w:t xml:space="preserve">• </w:t>
      </w:r>
      <w:r>
        <w:t>Developed learning for clinical systems, cybersecurity, records management, compliance, and operational workflows; partnered with physicians, IT, and federal program stakeholders.</w:t>
      </w:r>
    </w:p>
    <w:p>
      <w:pPr>
        <w:pStyle w:val="Job"/>
        <w:keepNext/>
      </w:pPr>
      <w:r>
        <w:t>PACIFICSOURCE HEALTH PLANS</w:t>
      </w:r>
    </w:p>
    <w:p>
      <w:pPr>
        <w:keepNext/>
        <w:spacing w:after="40"/>
      </w:pPr>
      <w:r>
        <w:rPr>
          <w:i/>
          <w:sz w:val="19"/>
        </w:rPr>
        <w:t>Senior Instructional Systems Designer | Enterprise Learning &amp; Leadership Development | 2024–2025</w:t>
      </w:r>
    </w:p>
    <w:p>
      <w:pPr>
        <w:ind w:left="173" w:hanging="173"/>
      </w:pPr>
      <w:r>
        <w:rPr>
          <w:b/>
        </w:rPr>
        <w:t xml:space="preserve">• </w:t>
      </w:r>
      <w:r>
        <w:t>Architected a multi-track leadership mentorship program with mentor and mentee pathways, facilitator tools, webinars, workbooks, and repeatable cohort resources.</w:t>
      </w:r>
    </w:p>
    <w:p>
      <w:pPr>
        <w:ind w:left="173" w:hanging="173"/>
      </w:pPr>
      <w:r>
        <w:rPr>
          <w:b/>
        </w:rPr>
        <w:t xml:space="preserve">• </w:t>
      </w:r>
      <w:r>
        <w:t>Supported enterprise learning through Workday; aligned leadership development with workforce capability, succession planning, and organizational priorities.</w:t>
      </w:r>
    </w:p>
    <w:p>
      <w:pPr>
        <w:pStyle w:val="Job"/>
        <w:keepNext/>
      </w:pPr>
      <w:r>
        <w:t>ALTERA DIGITAL HEALTH</w:t>
      </w:r>
    </w:p>
    <w:p>
      <w:pPr>
        <w:keepNext/>
        <w:spacing w:after="40"/>
      </w:pPr>
      <w:r>
        <w:rPr>
          <w:i/>
          <w:sz w:val="19"/>
        </w:rPr>
        <w:t>Senior Instructional Systems Designer | Enterprise Transformation &amp; Adoption | 2023–2024</w:t>
      </w:r>
    </w:p>
    <w:p>
      <w:pPr>
        <w:ind w:left="173" w:hanging="173"/>
      </w:pPr>
      <w:r>
        <w:rPr>
          <w:b/>
        </w:rPr>
        <w:t xml:space="preserve">• </w:t>
      </w:r>
      <w:r>
        <w:t>Redesigned 50+ learning assets during a corporate acquisition, sustaining training continuity through new branding, process changes, and organizational transition.</w:t>
      </w:r>
    </w:p>
    <w:p>
      <w:pPr>
        <w:ind w:left="173" w:hanging="173"/>
      </w:pPr>
      <w:r>
        <w:rPr>
          <w:b/>
        </w:rPr>
        <w:t xml:space="preserve">• </w:t>
      </w:r>
      <w:r>
        <w:t>Modernized eLearning, facilitator resources, and performance support through cross-functional collaboration with Marketing, Compliance, Operations, and Learning.</w:t>
      </w:r>
    </w:p>
    <w:p>
      <w:r/>
    </w:p>
    <w:p>
      <w:pPr>
        <w:pStyle w:val="Job"/>
        <w:keepNext/>
      </w:pPr>
      <w:r>
        <w:t>DAVITA</w:t>
      </w:r>
    </w:p>
    <w:p>
      <w:pPr>
        <w:keepNext/>
        <w:spacing w:after="40"/>
      </w:pPr>
      <w:r>
        <w:rPr>
          <w:i/>
          <w:sz w:val="19"/>
        </w:rPr>
        <w:t>Senior Instructional Designer | Clinical Learning &amp; Development | 2020–2023</w:t>
      </w:r>
    </w:p>
    <w:p>
      <w:pPr>
        <w:ind w:left="173" w:hanging="173"/>
      </w:pPr>
      <w:r>
        <w:rPr>
          <w:b/>
        </w:rPr>
        <w:t xml:space="preserve">• </w:t>
      </w:r>
      <w:r>
        <w:t>Developed 1,200+ learning assets, including clinical eLearning, VILT, simulations, videos, job aids, instructor guides, and performance-support resources.</w:t>
      </w:r>
    </w:p>
    <w:p>
      <w:pPr>
        <w:ind w:left="173" w:hanging="173"/>
      </w:pPr>
      <w:r>
        <w:rPr>
          <w:b/>
        </w:rPr>
        <w:t xml:space="preserve">• </w:t>
      </w:r>
      <w:r>
        <w:t>Supported Epic CKD adoption and transition from Falcon Physician by translating complex clinical workflows into accessible, practical learning for clinicians and operational teams.</w:t>
      </w:r>
    </w:p>
    <w:p>
      <w:pPr>
        <w:ind w:left="173" w:hanging="173"/>
      </w:pPr>
      <w:r>
        <w:rPr>
          <w:b/>
        </w:rPr>
        <w:t xml:space="preserve">• </w:t>
      </w:r>
      <w:r>
        <w:t>Applied emerging AI-assisted development approaches and partnered with physicians, nurses, SMEs, and IT to support accurate, scalable clinical education; worked within the Cornerstone learning environment.</w:t>
      </w:r>
    </w:p>
    <w:p>
      <w:pPr>
        <w:pStyle w:val="Job"/>
        <w:keepNext/>
      </w:pPr>
      <w:r>
        <w:t>PAX8</w:t>
      </w:r>
    </w:p>
    <w:p>
      <w:pPr>
        <w:keepNext/>
        <w:spacing w:after="40"/>
      </w:pPr>
      <w:r>
        <w:rPr>
          <w:i/>
          <w:sz w:val="19"/>
        </w:rPr>
        <w:t>Content Developer | Instructional Designer | Sales Enablement | 2018–2020</w:t>
      </w:r>
    </w:p>
    <w:p>
      <w:pPr>
        <w:ind w:left="173" w:hanging="173"/>
      </w:pPr>
      <w:r>
        <w:rPr>
          <w:b/>
        </w:rPr>
        <w:t xml:space="preserve">• </w:t>
      </w:r>
      <w:r>
        <w:t>Led WalkMe digital adoption support, creating contextual in-app guidance and performance resources to help employees navigate enterprise workflows.</w:t>
      </w:r>
    </w:p>
    <w:p>
      <w:pPr>
        <w:ind w:left="173" w:hanging="173"/>
      </w:pPr>
      <w:r>
        <w:rPr>
          <w:b/>
        </w:rPr>
        <w:t xml:space="preserve">• </w:t>
      </w:r>
      <w:r>
        <w:t>Trained sales agents to use Seismic to access approved SaaS and cybersecurity collateral and incorporate accurate, professionally formatted product materials into customer emails.</w:t>
      </w:r>
    </w:p>
    <w:p>
      <w:pPr>
        <w:ind w:left="173" w:hanging="173"/>
      </w:pPr>
      <w:r>
        <w:rPr>
          <w:b/>
        </w:rPr>
        <w:t xml:space="preserve">• </w:t>
      </w:r>
      <w:r>
        <w:t>Built SharePoint sales-enablement knowledge resources, onboarding programs, playbooks, and competency pathways to strengthen self-service and readiness.</w:t>
      </w:r>
    </w:p>
    <w:p>
      <w:pPr>
        <w:ind w:left="173" w:hanging="173"/>
      </w:pPr>
      <w:r>
        <w:rPr>
          <w:b/>
        </w:rPr>
        <w:t xml:space="preserve">• </w:t>
      </w:r>
      <w:r>
        <w:t>Contributed to an Azure-powered chatbot initiative providing just-in-time information and workflow-based performance support.</w:t>
      </w:r>
    </w:p>
    <w:p>
      <w:pPr>
        <w:pStyle w:val="Job"/>
        <w:keepNext/>
      </w:pPr>
      <w:r>
        <w:t>NETFLIX</w:t>
      </w:r>
    </w:p>
    <w:p>
      <w:pPr>
        <w:keepNext/>
        <w:spacing w:after="40"/>
      </w:pPr>
      <w:r>
        <w:rPr>
          <w:i/>
          <w:sz w:val="19"/>
        </w:rPr>
        <w:t>IT Team Lead / SharePoint Administrator | 2010–2015</w:t>
      </w:r>
    </w:p>
    <w:p>
      <w:pPr>
        <w:ind w:left="173" w:hanging="173"/>
      </w:pPr>
      <w:r>
        <w:rPr>
          <w:b/>
        </w:rPr>
        <w:t xml:space="preserve">• </w:t>
      </w:r>
      <w:r>
        <w:t>Led technical-support staff, coaching performance and creating training informed by operational needs, support trends, and knowledge gaps.</w:t>
      </w:r>
    </w:p>
    <w:p>
      <w:pPr>
        <w:ind w:left="173" w:hanging="173"/>
      </w:pPr>
      <w:r>
        <w:rPr>
          <w:b/>
        </w:rPr>
        <w:t xml:space="preserve">• </w:t>
      </w:r>
      <w:r>
        <w:t>Developed and maintained eight department SharePoint portals and knowledge resources to improve access to support content.</w:t>
      </w:r>
    </w:p>
    <w:p>
      <w:pPr>
        <w:pStyle w:val="Section"/>
        <w:keepNext/>
        <w:pBdr>
          <w:bottom w:val="single" w:color="B5B5B5" w:sz="4" w:space="2"/>
        </w:pBdr>
      </w:pPr>
      <w:r>
        <w:t>AI EDUCATION AND PROFESSIONAL DEVELOPMENT | 2024–2026</w:t>
      </w:r>
    </w:p>
    <w:p>
      <w:pPr/>
      <w:r>
        <w:t>• AI for L&amp;D Certification — 360Learning</w:t>
      </w:r>
    </w:p>
    <w:p>
      <w:pPr/>
      <w:r>
        <w:t>• AI for Learning &amp; Development — Coursera</w:t>
      </w:r>
    </w:p>
    <w:p>
      <w:pPr/>
      <w:r>
        <w:t>• AI Strategy &amp; Design Online Conference — professional development</w:t>
      </w:r>
    </w:p>
    <w:p>
      <w:pPr/>
      <w:r>
        <w:t>• OLC Accelerate AI Summit — Online Learning Consortium, professional development</w:t>
      </w:r>
    </w:p>
    <w:p>
      <w:pPr>
        <w:pStyle w:val="Section"/>
        <w:keepNext/>
        <w:pBdr>
          <w:bottom w:val="single" w:color="B5B5B5" w:sz="4" w:space="2"/>
        </w:pBdr>
      </w:pPr>
      <w:r>
        <w:t>EDUCATION AND ADDITIONAL DEVELOPMENT</w:t>
      </w:r>
    </w:p>
    <w:p>
      <w:r>
        <w:t>B.A., Journalism — Broward College  |  NYU Tandon — AR/VR User Experience Design  |  Springboard — UX Design  |  IFAC — Graphic Design</w:t>
      </w:r>
    </w:p>
    <w:p>
      <w:r>
        <w:t>Advanced Articulate Storyline 360  |  Advanced Camtasia  |  Instructional Design &amp; Adult Learning  |  Section 508 / WCAG</w:t>
      </w:r>
    </w:p>
    <w:p>
      <w:r>
        <w:br w:type="page"/>
      </w:r>
    </w:p>
    <w:p>
      <w:pPr>
        <w:spacing w:after="20"/>
        <w:jc w:val="center"/>
      </w:pPr>
      <w:r>
        <w:rPr>
          <w:rFonts w:ascii="Times New Roman" w:hAnsi="Times New Roman"/>
          <w:b/>
          <w:color w:val="272A2D"/>
          <w:sz w:val="40"/>
        </w:rPr>
        <w:t>TIFFANY MARCIALES</w:t>
      </w:r>
    </w:p>
    <w:p>
      <w:pPr>
        <w:spacing w:after="140"/>
        <w:jc w:val="center"/>
      </w:pPr>
      <w:r>
        <w:rPr>
          <w:rFonts w:ascii="Times New Roman" w:hAnsi="Times New Roman"/>
          <w:b/>
          <w:color w:val="373A3E"/>
          <w:sz w:val="22"/>
        </w:rPr>
        <w:t>TECHNOLOGY &amp; SOFTWARE EXPERTISE</w:t>
      </w:r>
    </w:p>
    <w:p>
      <w:pPr>
        <w:pStyle w:val="Section"/>
        <w:spacing w:before="140" w:after="40"/>
      </w:pPr>
      <w:r>
        <w:t>GENERATIVE AI &amp; AI PRODUCTIVITY</w:t>
      </w:r>
    </w:p>
    <w:p>
      <w:pPr>
        <w:spacing w:after="100" w:line="259" w:lineRule="auto"/>
      </w:pPr>
      <w:r>
        <w:rPr>
          <w:sz w:val="21"/>
        </w:rPr>
        <w:t>ChatGPT (OpenAI)  |  Microsoft Copilot  |  Google Gemini  |  Claude (Anthropic)  |  Articulate 360 AI Assistant  |  Synthesia  |  ElevenLabs  |  Vyond AI  |  Easygenerator AI  |  360Learning AI</w:t>
      </w:r>
    </w:p>
    <w:p>
      <w:pPr>
        <w:pStyle w:val="Section"/>
        <w:spacing w:before="140" w:after="40"/>
      </w:pPr>
      <w:r>
        <w:t>INSTRUCTIONAL DESIGN &amp; ELEARNING AUTHORING</w:t>
      </w:r>
    </w:p>
    <w:p>
      <w:pPr>
        <w:spacing w:after="100" w:line="259" w:lineRule="auto"/>
      </w:pPr>
      <w:r>
        <w:rPr>
          <w:sz w:val="21"/>
        </w:rPr>
        <w:t>Articulate Storyline 360  |  Articulate Rise 360  |  Adobe Captivate  |  Easygenerator  |  iSpring Suite  |  Camtasia  |  H5P  |  Vyond  |  Canva  |  Microsoft PowerPoint</w:t>
      </w:r>
    </w:p>
    <w:p>
      <w:pPr>
        <w:pStyle w:val="Section"/>
        <w:spacing w:before="140" w:after="40"/>
      </w:pPr>
      <w:r>
        <w:t>LEARNING MANAGEMENT &amp; EXPERIENCE PLATFORMS</w:t>
      </w:r>
    </w:p>
    <w:p>
      <w:pPr>
        <w:spacing w:after="100" w:line="259" w:lineRule="auto"/>
      </w:pPr>
      <w:r>
        <w:rPr>
          <w:sz w:val="21"/>
        </w:rPr>
        <w:t>Cornerstone OnDemand  |  Workday Learning  |  SAP SuccessFactors Learning  |  Docebo  |  360Learning  |  Moodle  |  Canvas LMS  |  TalentLMS</w:t>
      </w:r>
    </w:p>
    <w:p>
      <w:pPr>
        <w:pStyle w:val="Section"/>
        <w:spacing w:before="140" w:after="40"/>
      </w:pPr>
      <w:r>
        <w:t>DIGITAL ADOPTION &amp; SALES ENABLEMENT</w:t>
      </w:r>
    </w:p>
    <w:p>
      <w:pPr>
        <w:spacing w:after="100" w:line="259" w:lineRule="auto"/>
      </w:pPr>
      <w:r>
        <w:rPr>
          <w:sz w:val="21"/>
        </w:rPr>
        <w:t>WalkMe  |  Pendo  |  Seismic  |  Salesforce  |  Microsoft SharePoint  |  ServiceNow</w:t>
      </w:r>
    </w:p>
    <w:p>
      <w:pPr>
        <w:pStyle w:val="Section"/>
        <w:spacing w:before="140" w:after="40"/>
      </w:pPr>
      <w:r>
        <w:t>ADOBE CREATIVE CLOUD &amp; MULTIMEDIA</w:t>
      </w:r>
    </w:p>
    <w:p>
      <w:pPr>
        <w:spacing w:after="100" w:line="259" w:lineRule="auto"/>
      </w:pPr>
      <w:r>
        <w:rPr>
          <w:sz w:val="21"/>
        </w:rPr>
        <w:t>Adobe Photoshop  |  Illustrator  |  InDesign  |  Premiere Pro  |  After Effects  |  Audition  |  Acrobat Pro  |  Adobe XD  |  Figma  |  Canva  |  Camtasia</w:t>
      </w:r>
    </w:p>
    <w:p>
      <w:pPr>
        <w:pStyle w:val="Section"/>
        <w:spacing w:before="140" w:after="40"/>
      </w:pPr>
      <w:r>
        <w:t>LEARNING ANALYTICS, DATA &amp; STANDARDS</w:t>
      </w:r>
    </w:p>
    <w:p>
      <w:pPr>
        <w:spacing w:after="100" w:line="259" w:lineRule="auto"/>
      </w:pPr>
      <w:r>
        <w:rPr>
          <w:sz w:val="21"/>
        </w:rPr>
        <w:t>Microsoft Power BI  |  Tableau  |  Microsoft Excel  |  LMS Reporting &amp; Analytics  |  xAPI / Learning Record Store (LRS)  |  SCORM 1.2 / SCORM 2004</w:t>
      </w:r>
    </w:p>
    <w:p>
      <w:pPr>
        <w:pStyle w:val="Section"/>
        <w:spacing w:before="140" w:after="40"/>
      </w:pPr>
      <w:r>
        <w:t>COLLABORATION &amp; PROJECT MANAGEMENT</w:t>
      </w:r>
    </w:p>
    <w:p>
      <w:pPr>
        <w:spacing w:after="100" w:line="259" w:lineRule="auto"/>
      </w:pPr>
      <w:r>
        <w:rPr>
          <w:sz w:val="21"/>
        </w:rPr>
        <w:t>Microsoft Teams  |  SharePoint  |  Planner  |  Project  |  Microsoft 365  |  OneNote  |  Google Workspace  |  Zoom  |  Slack  |  Trello  |  Asana</w:t>
      </w:r>
    </w:p>
    <w:p>
      <w:pPr>
        <w:pStyle w:val="Section"/>
        <w:spacing w:before="140" w:after="40"/>
      </w:pPr>
      <w:r>
        <w:t>HEALTHCARE &amp; ENTERPRISE SYSTEMS</w:t>
      </w:r>
    </w:p>
    <w:p>
      <w:pPr>
        <w:spacing w:after="100" w:line="259" w:lineRule="auto"/>
      </w:pPr>
      <w:r>
        <w:rPr>
          <w:sz w:val="21"/>
        </w:rPr>
        <w:t>Epic / Epic CKD  |  Altera Digital Health EHR  |  Falcon Physician  |  Salesforce  |  Workday  |  ServiceNow</w:t>
      </w:r>
    </w:p>
    <w:p>
      <w:pPr>
        <w:pStyle w:val="Section"/>
        <w:spacing w:before="140" w:after="40"/>
      </w:pPr>
      <w:r>
        <w:t>LEARNING DESIGN METHODS &amp; FRAMEWORKS</w:t>
      </w:r>
    </w:p>
    <w:p>
      <w:pPr>
        <w:spacing w:after="100" w:line="259" w:lineRule="auto"/>
      </w:pPr>
      <w:r>
        <w:rPr>
          <w:sz w:val="21"/>
        </w:rPr>
        <w:t>ADDIE  |  SAM  |  Bloom’s Taxonomy  |  Kirkpatrick Evaluation  |  Design Thinking  |  Adult Learning Theory  |  Scenario-Based Learning  |  Microlearning  |  Gamification  |  Human-Centered Design  |  Section 508 / WCAG  |  Performance Support  |  Training Needs Analysis  |  AI Adoption &amp; Change Management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07" w:right="1037" w:bottom="835" w:left="1037" w:header="504" w:footer="504" w:gutter="0"/>
      <w:cols w:space="720"/>
      <w:docGrid w:linePitch="360"/>
      <w:pgBorders w:offsetFrom="page">
        <w:top w:val="single" w:sz="5" w:color="A6A6A6" w:space="18"/>
        <w:left w:val="single" w:sz="5" w:color="A6A6A6" w:space="18"/>
        <w:bottom w:val="single" w:sz="5" w:color="A6A6A6" w:space="18"/>
        <w:right w:val="single" w:sz="5" w:color="A6A6A6" w:space="1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E6E6E"/>
        <w:sz w:val="16"/>
      </w:rPr>
      <w:t>TIFFANY MARCIALES  •  AI-ENABLED LEARNING &amp; ENTERPRISE ADOPTION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4" w:line="254" w:lineRule="auto"/>
    </w:pPr>
    <w:rPr>
      <w:rFonts w:ascii="Times New Roman" w:hAnsi="Times New Roman"/>
      <w:color w:val="272A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">
    <w:name w:val="Section"/>
    <w:pPr>
      <w:spacing w:before="140" w:after="40"/>
    </w:pPr>
    <w:rPr>
      <w:rFonts w:ascii="Times New Roman" w:hAnsi="Times New Roman"/>
      <w:b/>
      <w:color w:val="373A3E"/>
      <w:sz w:val="21"/>
    </w:rPr>
  </w:style>
  <w:style w:type="paragraph" w:customStyle="1" w:styleId="Job">
    <w:name w:val="Job"/>
    <w:pPr>
      <w:spacing w:before="80" w:after="40"/>
    </w:pPr>
    <w:rPr>
      <w:rFonts w:ascii="Times New Roman" w:hAnsi="Times New Roman"/>
      <w:b/>
      <w:color w:val="373A3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